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5F0A" w:rsidRPr="009777C8" w:rsidRDefault="00F65F0A" w:rsidP="00F65F0A">
      <w:pPr>
        <w:pStyle w:val="NormalWeb"/>
        <w:spacing w:before="0" w:beforeAutospacing="0" w:after="0" w:afterAutospacing="0" w:line="480" w:lineRule="auto"/>
        <w:jc w:val="center"/>
        <w:rPr>
          <w:b/>
          <w:bCs/>
        </w:rPr>
      </w:pPr>
      <w:bookmarkStart w:id="0" w:name="_Hlk85057407"/>
    </w:p>
    <w:p w:rsidR="00F65F0A" w:rsidRPr="009777C8" w:rsidRDefault="00F65F0A" w:rsidP="00F65F0A">
      <w:pPr>
        <w:pStyle w:val="NormalWeb"/>
        <w:spacing w:before="0" w:beforeAutospacing="0" w:after="0" w:afterAutospacing="0" w:line="480" w:lineRule="auto"/>
        <w:jc w:val="center"/>
        <w:rPr>
          <w:b/>
          <w:bCs/>
        </w:rPr>
      </w:pPr>
    </w:p>
    <w:p w:rsidR="00F65F0A" w:rsidRPr="009777C8" w:rsidRDefault="00F65F0A" w:rsidP="00F65F0A">
      <w:pPr>
        <w:pStyle w:val="NormalWeb"/>
        <w:spacing w:before="0" w:beforeAutospacing="0" w:after="0" w:afterAutospacing="0" w:line="480" w:lineRule="auto"/>
        <w:jc w:val="center"/>
        <w:rPr>
          <w:b/>
          <w:bCs/>
        </w:rPr>
      </w:pPr>
    </w:p>
    <w:p w:rsidR="00F65F0A" w:rsidRPr="009777C8" w:rsidRDefault="00F65F0A" w:rsidP="00F65F0A">
      <w:pPr>
        <w:pStyle w:val="NormalWeb"/>
        <w:spacing w:before="0" w:beforeAutospacing="0" w:after="0" w:afterAutospacing="0" w:line="480" w:lineRule="auto"/>
        <w:jc w:val="center"/>
        <w:rPr>
          <w:b/>
          <w:bCs/>
        </w:rPr>
      </w:pPr>
    </w:p>
    <w:p w:rsidR="00F65F0A" w:rsidRPr="009777C8" w:rsidRDefault="00F65F0A" w:rsidP="00F65F0A">
      <w:pPr>
        <w:pStyle w:val="NormalWeb"/>
        <w:spacing w:before="0" w:beforeAutospacing="0" w:after="0" w:afterAutospacing="0" w:line="480" w:lineRule="auto"/>
        <w:jc w:val="center"/>
        <w:rPr>
          <w:b/>
          <w:bCs/>
        </w:rPr>
      </w:pPr>
    </w:p>
    <w:p w:rsidR="00F65F0A" w:rsidRPr="009777C8" w:rsidRDefault="00F65F0A" w:rsidP="00F65F0A">
      <w:pPr>
        <w:pStyle w:val="NormalWeb"/>
        <w:spacing w:before="0" w:beforeAutospacing="0" w:after="0" w:afterAutospacing="0" w:line="480" w:lineRule="auto"/>
        <w:jc w:val="center"/>
        <w:rPr>
          <w:b/>
          <w:bCs/>
        </w:rPr>
      </w:pPr>
    </w:p>
    <w:p w:rsidR="00F65F0A" w:rsidRPr="009777C8" w:rsidRDefault="00F65F0A" w:rsidP="00F65F0A">
      <w:pPr>
        <w:pStyle w:val="NormalWeb"/>
        <w:spacing w:before="0" w:beforeAutospacing="0" w:after="0" w:afterAutospacing="0" w:line="480" w:lineRule="auto"/>
        <w:jc w:val="center"/>
        <w:rPr>
          <w:b/>
          <w:bCs/>
        </w:rPr>
      </w:pPr>
    </w:p>
    <w:p w:rsidR="00F65F0A" w:rsidRPr="009777C8" w:rsidRDefault="00F65F0A" w:rsidP="00F65F0A">
      <w:pPr>
        <w:pStyle w:val="NormalWeb"/>
        <w:spacing w:before="0" w:beforeAutospacing="0" w:after="0" w:afterAutospacing="0" w:line="480" w:lineRule="auto"/>
        <w:jc w:val="center"/>
        <w:rPr>
          <w:b/>
          <w:bCs/>
        </w:rPr>
      </w:pPr>
    </w:p>
    <w:p w:rsidR="00F65F0A" w:rsidRPr="009777C8" w:rsidRDefault="00F65F0A" w:rsidP="00F65F0A">
      <w:pPr>
        <w:pStyle w:val="NormalWeb"/>
        <w:spacing w:before="0" w:beforeAutospacing="0" w:after="0" w:afterAutospacing="0" w:line="480" w:lineRule="auto"/>
        <w:jc w:val="center"/>
        <w:rPr>
          <w:b/>
          <w:bCs/>
        </w:rPr>
      </w:pPr>
    </w:p>
    <w:p w:rsidR="00F65F0A" w:rsidRPr="009777C8" w:rsidRDefault="00F65F0A" w:rsidP="00F65F0A">
      <w:pPr>
        <w:spacing w:line="480" w:lineRule="auto"/>
        <w:jc w:val="center"/>
        <w:rPr>
          <w:rFonts w:ascii="Times New Roman" w:hAnsi="Times New Roman" w:cs="Times New Roman"/>
          <w:b/>
          <w:bCs/>
          <w:sz w:val="24"/>
          <w:szCs w:val="24"/>
        </w:rPr>
      </w:pPr>
      <w:r w:rsidRPr="009777C8">
        <w:rPr>
          <w:rFonts w:ascii="Times New Roman" w:hAnsi="Times New Roman" w:cs="Times New Roman"/>
          <w:b/>
          <w:bCs/>
          <w:sz w:val="24"/>
          <w:szCs w:val="24"/>
        </w:rPr>
        <w:t>Exchange Rate Systems</w:t>
      </w:r>
    </w:p>
    <w:p w:rsidR="00F65F0A" w:rsidRPr="009777C8" w:rsidRDefault="00F65F0A" w:rsidP="00F65F0A">
      <w:pPr>
        <w:pStyle w:val="NormalWeb"/>
        <w:spacing w:before="0" w:beforeAutospacing="0" w:after="0" w:afterAutospacing="0" w:line="480" w:lineRule="auto"/>
        <w:jc w:val="center"/>
        <w:rPr>
          <w:color w:val="0E101A"/>
        </w:rPr>
      </w:pPr>
      <w:r w:rsidRPr="009777C8">
        <w:rPr>
          <w:color w:val="0E101A"/>
        </w:rPr>
        <w:t>Name</w:t>
      </w:r>
    </w:p>
    <w:p w:rsidR="00F65F0A" w:rsidRPr="009777C8" w:rsidRDefault="00F65F0A" w:rsidP="00F65F0A">
      <w:pPr>
        <w:pStyle w:val="NormalWeb"/>
        <w:spacing w:before="0" w:beforeAutospacing="0" w:after="0" w:afterAutospacing="0" w:line="480" w:lineRule="auto"/>
        <w:jc w:val="center"/>
        <w:rPr>
          <w:color w:val="0E101A"/>
        </w:rPr>
      </w:pPr>
      <w:r w:rsidRPr="009777C8">
        <w:rPr>
          <w:color w:val="0E101A"/>
        </w:rPr>
        <w:t>Institution</w:t>
      </w:r>
    </w:p>
    <w:p w:rsidR="00F65F0A" w:rsidRPr="009777C8" w:rsidRDefault="00F65F0A" w:rsidP="00F65F0A">
      <w:pPr>
        <w:pStyle w:val="NormalWeb"/>
        <w:spacing w:before="0" w:beforeAutospacing="0" w:after="0" w:afterAutospacing="0" w:line="480" w:lineRule="auto"/>
        <w:jc w:val="center"/>
        <w:rPr>
          <w:color w:val="0E101A"/>
        </w:rPr>
      </w:pPr>
      <w:r w:rsidRPr="009777C8">
        <w:rPr>
          <w:color w:val="0E101A"/>
        </w:rPr>
        <w:t>Course</w:t>
      </w:r>
    </w:p>
    <w:p w:rsidR="00F65F0A" w:rsidRPr="009777C8" w:rsidRDefault="00F65F0A" w:rsidP="00F65F0A">
      <w:pPr>
        <w:pStyle w:val="NormalWeb"/>
        <w:spacing w:before="0" w:beforeAutospacing="0" w:after="0" w:afterAutospacing="0" w:line="480" w:lineRule="auto"/>
        <w:jc w:val="center"/>
        <w:rPr>
          <w:color w:val="0E101A"/>
        </w:rPr>
      </w:pPr>
      <w:r w:rsidRPr="009777C8">
        <w:rPr>
          <w:color w:val="0E101A"/>
        </w:rPr>
        <w:t>Professor</w:t>
      </w:r>
    </w:p>
    <w:p w:rsidR="00F65F0A" w:rsidRPr="009777C8" w:rsidRDefault="00F65F0A" w:rsidP="00F65F0A">
      <w:pPr>
        <w:pStyle w:val="NormalWeb"/>
        <w:spacing w:before="0" w:beforeAutospacing="0" w:after="0" w:afterAutospacing="0" w:line="480" w:lineRule="auto"/>
        <w:jc w:val="center"/>
        <w:rPr>
          <w:color w:val="0E101A"/>
        </w:rPr>
      </w:pPr>
      <w:r w:rsidRPr="009777C8">
        <w:rPr>
          <w:color w:val="0E101A"/>
        </w:rPr>
        <w:t>Date</w:t>
      </w:r>
    </w:p>
    <w:p w:rsidR="00F65F0A" w:rsidRPr="009777C8" w:rsidRDefault="00F65F0A" w:rsidP="00F65F0A">
      <w:pPr>
        <w:pStyle w:val="NormalWeb"/>
        <w:spacing w:before="0" w:beforeAutospacing="0" w:after="0" w:afterAutospacing="0" w:line="480" w:lineRule="auto"/>
        <w:jc w:val="center"/>
        <w:rPr>
          <w:color w:val="0E101A"/>
        </w:rPr>
      </w:pPr>
    </w:p>
    <w:p w:rsidR="00F65F0A" w:rsidRPr="009777C8" w:rsidRDefault="00F65F0A" w:rsidP="00F65F0A">
      <w:pPr>
        <w:pStyle w:val="NormalWeb"/>
        <w:spacing w:before="0" w:beforeAutospacing="0" w:after="0" w:afterAutospacing="0" w:line="480" w:lineRule="auto"/>
        <w:jc w:val="center"/>
        <w:rPr>
          <w:color w:val="0E101A"/>
        </w:rPr>
      </w:pPr>
    </w:p>
    <w:p w:rsidR="00F65F0A" w:rsidRPr="009777C8" w:rsidRDefault="00F65F0A" w:rsidP="00F65F0A">
      <w:pPr>
        <w:pStyle w:val="NormalWeb"/>
        <w:spacing w:before="0" w:beforeAutospacing="0" w:after="0" w:afterAutospacing="0" w:line="480" w:lineRule="auto"/>
        <w:jc w:val="center"/>
        <w:rPr>
          <w:color w:val="0E101A"/>
        </w:rPr>
      </w:pPr>
    </w:p>
    <w:p w:rsidR="00F65F0A" w:rsidRPr="009777C8" w:rsidRDefault="00F65F0A" w:rsidP="00F65F0A">
      <w:pPr>
        <w:pStyle w:val="NormalWeb"/>
        <w:spacing w:before="0" w:beforeAutospacing="0" w:after="0" w:afterAutospacing="0" w:line="480" w:lineRule="auto"/>
        <w:jc w:val="center"/>
        <w:rPr>
          <w:color w:val="0E101A"/>
        </w:rPr>
      </w:pPr>
    </w:p>
    <w:p w:rsidR="00F65F0A" w:rsidRPr="009777C8" w:rsidRDefault="00F65F0A" w:rsidP="00F65F0A">
      <w:pPr>
        <w:pStyle w:val="NormalWeb"/>
        <w:spacing w:before="0" w:beforeAutospacing="0" w:after="0" w:afterAutospacing="0" w:line="480" w:lineRule="auto"/>
        <w:jc w:val="center"/>
        <w:rPr>
          <w:color w:val="0E101A"/>
        </w:rPr>
      </w:pPr>
    </w:p>
    <w:p w:rsidR="00F65F0A" w:rsidRPr="009777C8" w:rsidRDefault="00F65F0A" w:rsidP="00F65F0A">
      <w:pPr>
        <w:pStyle w:val="NormalWeb"/>
        <w:spacing w:before="0" w:beforeAutospacing="0" w:after="0" w:afterAutospacing="0" w:line="480" w:lineRule="auto"/>
        <w:jc w:val="center"/>
        <w:rPr>
          <w:color w:val="0E101A"/>
        </w:rPr>
      </w:pPr>
    </w:p>
    <w:p w:rsidR="00F65F0A" w:rsidRPr="009777C8" w:rsidRDefault="00F65F0A" w:rsidP="00F65F0A">
      <w:pPr>
        <w:pStyle w:val="NormalWeb"/>
        <w:spacing w:before="0" w:beforeAutospacing="0" w:after="0" w:afterAutospacing="0" w:line="480" w:lineRule="auto"/>
        <w:jc w:val="center"/>
        <w:rPr>
          <w:color w:val="0E101A"/>
        </w:rPr>
      </w:pPr>
    </w:p>
    <w:p w:rsidR="00F65F0A" w:rsidRPr="009777C8" w:rsidRDefault="00F65F0A" w:rsidP="00F65F0A">
      <w:pPr>
        <w:pStyle w:val="NormalWeb"/>
        <w:spacing w:before="0" w:beforeAutospacing="0" w:after="0" w:afterAutospacing="0" w:line="480" w:lineRule="auto"/>
        <w:jc w:val="center"/>
        <w:rPr>
          <w:color w:val="0E101A"/>
        </w:rPr>
      </w:pPr>
    </w:p>
    <w:p w:rsidR="00F65F0A" w:rsidRDefault="00F65F0A" w:rsidP="00F65F0A">
      <w:pPr>
        <w:spacing w:line="480" w:lineRule="auto"/>
        <w:contextualSpacing/>
        <w:jc w:val="center"/>
        <w:rPr>
          <w:rFonts w:ascii="Times New Roman" w:hAnsi="Times New Roman" w:cs="Times New Roman"/>
          <w:b/>
          <w:bCs/>
          <w:sz w:val="24"/>
          <w:szCs w:val="24"/>
        </w:rPr>
      </w:pPr>
      <w:r w:rsidRPr="009777C8">
        <w:rPr>
          <w:rFonts w:ascii="Times New Roman" w:hAnsi="Times New Roman" w:cs="Times New Roman"/>
          <w:b/>
          <w:bCs/>
          <w:sz w:val="24"/>
          <w:szCs w:val="24"/>
        </w:rPr>
        <w:lastRenderedPageBreak/>
        <w:t>Exchange Rate Systems</w:t>
      </w:r>
    </w:p>
    <w:p w:rsidR="006122AA" w:rsidRPr="006122AA" w:rsidRDefault="006122AA" w:rsidP="00F65F0A">
      <w:pPr>
        <w:spacing w:line="480" w:lineRule="auto"/>
        <w:contextualSpacing/>
        <w:jc w:val="center"/>
        <w:rPr>
          <w:rFonts w:ascii="Times New Roman" w:hAnsi="Times New Roman" w:cs="Times New Roman"/>
          <w:b/>
          <w:bCs/>
          <w:sz w:val="24"/>
          <w:szCs w:val="24"/>
        </w:rPr>
      </w:pPr>
      <w:r w:rsidRPr="006122AA">
        <w:rPr>
          <w:rFonts w:ascii="Times New Roman" w:eastAsia="Times New Roman" w:hAnsi="Times New Roman" w:cs="Times New Roman"/>
          <w:b/>
          <w:bCs/>
          <w:sz w:val="24"/>
          <w:szCs w:val="24"/>
        </w:rPr>
        <w:t>Describe the role of the US dollar in the Bretton Woods system of fixed exchange rates prior to 1973.</w:t>
      </w:r>
    </w:p>
    <w:p w:rsidR="009777C8" w:rsidRDefault="009777C8" w:rsidP="006122AA">
      <w:pPr>
        <w:spacing w:line="480" w:lineRule="auto"/>
        <w:ind w:firstLine="720"/>
        <w:jc w:val="both"/>
        <w:rPr>
          <w:rFonts w:ascii="Times New Roman" w:hAnsi="Times New Roman" w:cs="Times New Roman"/>
          <w:sz w:val="24"/>
          <w:szCs w:val="24"/>
        </w:rPr>
      </w:pPr>
      <w:r w:rsidRPr="009777C8">
        <w:rPr>
          <w:rFonts w:ascii="Times New Roman" w:hAnsi="Times New Roman" w:cs="Times New Roman"/>
          <w:sz w:val="24"/>
          <w:szCs w:val="24"/>
        </w:rPr>
        <w:t>The Bretton Woods system was the first to control the conversion rate of money between states. It stated that each nation had to maintain a financial policy that kept its currency's conversion rate within a predetermined range in terms of gold—plus or minus one percent (McKay et al., 2017). The system is a collection of unified guidelines and regulations that set the foundation for establishing fixed international currency exchange rates. The system essentially instructed that the newly formed International Monetary Fund choose the fixed exchange rate for all moneys globally (McKay et al., 2017). Every participating country took on maintaining the exchange rate, which had extremely tiny margins above and below it.</w:t>
      </w:r>
    </w:p>
    <w:p w:rsidR="00E42BEE" w:rsidRPr="00E42BEE" w:rsidRDefault="00E42BEE" w:rsidP="00E42BEE">
      <w:pPr>
        <w:spacing w:line="480" w:lineRule="auto"/>
        <w:jc w:val="center"/>
        <w:rPr>
          <w:rFonts w:ascii="Times New Roman" w:hAnsi="Times New Roman" w:cs="Times New Roman"/>
          <w:b/>
          <w:bCs/>
          <w:sz w:val="24"/>
          <w:szCs w:val="24"/>
        </w:rPr>
      </w:pPr>
      <w:r w:rsidRPr="00E42BEE">
        <w:rPr>
          <w:rFonts w:ascii="Times New Roman" w:eastAsia="Times New Roman" w:hAnsi="Times New Roman" w:cs="Times New Roman"/>
          <w:b/>
          <w:bCs/>
          <w:sz w:val="24"/>
          <w:szCs w:val="24"/>
        </w:rPr>
        <w:t>Briefly explain the US context, and something about the global context, that led then-President Richard Nixon in 1973 to suspend the convertibility of US dollars into gold</w:t>
      </w:r>
    </w:p>
    <w:p w:rsidR="009777C8" w:rsidRPr="009777C8" w:rsidRDefault="009777C8" w:rsidP="006122AA">
      <w:pPr>
        <w:spacing w:line="480" w:lineRule="auto"/>
        <w:ind w:firstLine="720"/>
        <w:jc w:val="both"/>
        <w:rPr>
          <w:rFonts w:ascii="Times New Roman" w:hAnsi="Times New Roman" w:cs="Times New Roman"/>
          <w:sz w:val="24"/>
          <w:szCs w:val="24"/>
        </w:rPr>
      </w:pPr>
      <w:r w:rsidRPr="009777C8">
        <w:rPr>
          <w:rFonts w:ascii="Times New Roman" w:hAnsi="Times New Roman" w:cs="Times New Roman"/>
          <w:sz w:val="24"/>
          <w:szCs w:val="24"/>
        </w:rPr>
        <w:t>President Nixon abolished the gold standard in his New Economic Policy address. According to the address, in speculative conduct toward the dollar, he recommended banning the currency's conversion into gold and imposing an additional 10% tax on all duty-paying imports (Bordo, 2019). The Bretton Woods Agreement was centered on foreign currency exchange rates. The value of international currencies was fixed against the US dollar and presented in gold at a price set by Congress. In the 1960s, however, the system was jeopardized by a dollar excess (Bordo, 2019). The United States did not have enough gold to make up the volume of dollars in circulation around the world (Bordo, 2019). As a result, the dollar became overvalued, and the abandonment of the gold standard was set.</w:t>
      </w:r>
    </w:p>
    <w:p w:rsidR="00E42BEE" w:rsidRPr="00E42BEE" w:rsidRDefault="00E42BEE" w:rsidP="00E42BEE">
      <w:pPr>
        <w:spacing w:line="480" w:lineRule="auto"/>
        <w:jc w:val="center"/>
        <w:rPr>
          <w:rFonts w:ascii="Times New Roman" w:hAnsi="Times New Roman" w:cs="Times New Roman"/>
          <w:b/>
          <w:bCs/>
          <w:sz w:val="24"/>
          <w:szCs w:val="24"/>
        </w:rPr>
      </w:pPr>
      <w:r w:rsidRPr="00E42BEE">
        <w:rPr>
          <w:rFonts w:ascii="Times New Roman" w:eastAsia="Times New Roman" w:hAnsi="Times New Roman" w:cs="Times New Roman"/>
          <w:b/>
          <w:bCs/>
          <w:sz w:val="24"/>
          <w:szCs w:val="24"/>
        </w:rPr>
        <w:lastRenderedPageBreak/>
        <w:t>What system has replaced the fixed exchange-rate system that ended in 1973? What advantages and disadvantages does it have</w:t>
      </w:r>
      <w:r>
        <w:rPr>
          <w:rFonts w:ascii="Times New Roman" w:eastAsia="Times New Roman" w:hAnsi="Times New Roman" w:cs="Times New Roman"/>
          <w:b/>
          <w:bCs/>
          <w:sz w:val="24"/>
          <w:szCs w:val="24"/>
        </w:rPr>
        <w:t>?</w:t>
      </w:r>
    </w:p>
    <w:p w:rsidR="009777C8" w:rsidRPr="009777C8" w:rsidRDefault="009777C8" w:rsidP="006122AA">
      <w:pPr>
        <w:spacing w:line="480" w:lineRule="auto"/>
        <w:ind w:firstLine="720"/>
        <w:jc w:val="both"/>
        <w:rPr>
          <w:rFonts w:ascii="Times New Roman" w:hAnsi="Times New Roman" w:cs="Times New Roman"/>
          <w:sz w:val="24"/>
          <w:szCs w:val="24"/>
        </w:rPr>
      </w:pPr>
      <w:r w:rsidRPr="009777C8">
        <w:rPr>
          <w:rFonts w:ascii="Times New Roman" w:hAnsi="Times New Roman" w:cs="Times New Roman"/>
          <w:sz w:val="24"/>
          <w:szCs w:val="24"/>
        </w:rPr>
        <w:t>Members of the International Monetary Fund have been allowed to pick whatever form of exchange system they want since the Bretton Woods system collapsed, except for pegging their currency to gold, such as the floating exchange rate structure (Bordo, 2019). The economic benefits of this system, for example, are that they free financial and fiscal officials to follow internal goals like full hire, sustainable growth, and stable prices, and conversion rate modification often acts as a programmed stabilize (Bordo, 2019). However, one downside is that volatility and unpredictability in currency prices may inhibit trade and global investment growth (Bordo, 2019).</w:t>
      </w:r>
    </w:p>
    <w:p w:rsidR="00F65F0A" w:rsidRPr="009777C8" w:rsidRDefault="006122AA" w:rsidP="006122AA">
      <w:pPr>
        <w:spacing w:line="480" w:lineRule="auto"/>
        <w:ind w:firstLine="720"/>
        <w:contextualSpacing/>
        <w:jc w:val="both"/>
        <w:rPr>
          <w:rFonts w:ascii="Times New Roman" w:hAnsi="Times New Roman" w:cs="Times New Roman"/>
          <w:b/>
          <w:bCs/>
          <w:sz w:val="24"/>
          <w:szCs w:val="24"/>
        </w:rPr>
      </w:pPr>
      <w:r>
        <w:rPr>
          <w:rFonts w:ascii="Times New Roman" w:hAnsi="Times New Roman" w:cs="Times New Roman"/>
          <w:b/>
          <w:bCs/>
          <w:sz w:val="24"/>
          <w:szCs w:val="24"/>
        </w:rPr>
        <w:br w:type="page"/>
      </w:r>
    </w:p>
    <w:p w:rsidR="00F65F0A" w:rsidRPr="009777C8" w:rsidRDefault="00F65F0A" w:rsidP="00F65F0A">
      <w:pPr>
        <w:spacing w:line="480" w:lineRule="auto"/>
        <w:jc w:val="center"/>
        <w:rPr>
          <w:rFonts w:ascii="Times New Roman" w:hAnsi="Times New Roman" w:cs="Times New Roman"/>
          <w:b/>
          <w:bCs/>
          <w:sz w:val="24"/>
          <w:szCs w:val="24"/>
        </w:rPr>
      </w:pPr>
      <w:r w:rsidRPr="009777C8">
        <w:rPr>
          <w:rFonts w:ascii="Times New Roman" w:hAnsi="Times New Roman" w:cs="Times New Roman"/>
          <w:b/>
          <w:bCs/>
          <w:sz w:val="24"/>
          <w:szCs w:val="24"/>
        </w:rPr>
        <w:lastRenderedPageBreak/>
        <w:t>References</w:t>
      </w:r>
    </w:p>
    <w:p w:rsidR="00557E5D" w:rsidRPr="009777C8" w:rsidRDefault="00557E5D" w:rsidP="00571B56">
      <w:pPr>
        <w:spacing w:before="100" w:beforeAutospacing="1" w:after="100" w:afterAutospacing="1" w:line="480" w:lineRule="auto"/>
        <w:ind w:left="562" w:hanging="562"/>
        <w:jc w:val="both"/>
        <w:rPr>
          <w:rFonts w:ascii="Times New Roman" w:hAnsi="Times New Roman" w:cs="Times New Roman"/>
          <w:color w:val="222222"/>
          <w:sz w:val="24"/>
          <w:szCs w:val="24"/>
          <w:shd w:val="clear" w:color="auto" w:fill="FFFFFF"/>
        </w:rPr>
      </w:pPr>
      <w:r w:rsidRPr="009777C8">
        <w:rPr>
          <w:rFonts w:ascii="Times New Roman" w:hAnsi="Times New Roman" w:cs="Times New Roman"/>
          <w:color w:val="222222"/>
          <w:sz w:val="24"/>
          <w:szCs w:val="24"/>
          <w:shd w:val="clear" w:color="auto" w:fill="FFFFFF"/>
        </w:rPr>
        <w:t>Bordo, M. D. (2019). </w:t>
      </w:r>
      <w:r w:rsidRPr="009777C8">
        <w:rPr>
          <w:rFonts w:ascii="Times New Roman" w:hAnsi="Times New Roman" w:cs="Times New Roman"/>
          <w:i/>
          <w:iCs/>
          <w:color w:val="222222"/>
          <w:sz w:val="24"/>
          <w:szCs w:val="24"/>
          <w:shd w:val="clear" w:color="auto" w:fill="FFFFFF"/>
        </w:rPr>
        <w:t>The Operation and Demise of the Bretton Woods System, 1958–1971</w:t>
      </w:r>
      <w:r w:rsidRPr="009777C8">
        <w:rPr>
          <w:rFonts w:ascii="Times New Roman" w:hAnsi="Times New Roman" w:cs="Times New Roman"/>
          <w:color w:val="222222"/>
          <w:sz w:val="24"/>
          <w:szCs w:val="24"/>
          <w:shd w:val="clear" w:color="auto" w:fill="FFFFFF"/>
        </w:rPr>
        <w:t> (pp. 217-235). Yale University Press.</w:t>
      </w:r>
    </w:p>
    <w:p w:rsidR="00F65F0A" w:rsidRPr="009777C8" w:rsidRDefault="00557E5D" w:rsidP="00571B56">
      <w:pPr>
        <w:spacing w:before="100" w:beforeAutospacing="1" w:after="100" w:afterAutospacing="1" w:line="480" w:lineRule="auto"/>
        <w:ind w:left="562" w:hanging="562"/>
        <w:jc w:val="both"/>
        <w:rPr>
          <w:rFonts w:ascii="Times New Roman" w:eastAsia="Times New Roman" w:hAnsi="Times New Roman" w:cs="Times New Roman"/>
          <w:sz w:val="24"/>
          <w:szCs w:val="24"/>
        </w:rPr>
      </w:pPr>
      <w:r w:rsidRPr="009777C8">
        <w:rPr>
          <w:rFonts w:ascii="Times New Roman" w:hAnsi="Times New Roman" w:cs="Times New Roman"/>
          <w:color w:val="222222"/>
          <w:sz w:val="24"/>
          <w:szCs w:val="24"/>
          <w:shd w:val="clear" w:color="auto" w:fill="FFFFFF"/>
        </w:rPr>
        <w:t>McKay, D. R., &amp; Peters, D. A. (2017). The midas touch: Gold and its role in the global economy. </w:t>
      </w:r>
      <w:r w:rsidRPr="009777C8">
        <w:rPr>
          <w:rFonts w:ascii="Times New Roman" w:hAnsi="Times New Roman" w:cs="Times New Roman"/>
          <w:i/>
          <w:iCs/>
          <w:color w:val="222222"/>
          <w:sz w:val="24"/>
          <w:szCs w:val="24"/>
          <w:shd w:val="clear" w:color="auto" w:fill="FFFFFF"/>
        </w:rPr>
        <w:t>Plastic Surgery</w:t>
      </w:r>
      <w:r w:rsidRPr="009777C8">
        <w:rPr>
          <w:rFonts w:ascii="Times New Roman" w:hAnsi="Times New Roman" w:cs="Times New Roman"/>
          <w:color w:val="222222"/>
          <w:sz w:val="24"/>
          <w:szCs w:val="24"/>
          <w:shd w:val="clear" w:color="auto" w:fill="FFFFFF"/>
        </w:rPr>
        <w:t>, </w:t>
      </w:r>
      <w:r w:rsidRPr="009777C8">
        <w:rPr>
          <w:rFonts w:ascii="Times New Roman" w:hAnsi="Times New Roman" w:cs="Times New Roman"/>
          <w:i/>
          <w:iCs/>
          <w:color w:val="222222"/>
          <w:sz w:val="24"/>
          <w:szCs w:val="24"/>
          <w:shd w:val="clear" w:color="auto" w:fill="FFFFFF"/>
        </w:rPr>
        <w:t>25</w:t>
      </w:r>
      <w:r w:rsidRPr="009777C8">
        <w:rPr>
          <w:rFonts w:ascii="Times New Roman" w:hAnsi="Times New Roman" w:cs="Times New Roman"/>
          <w:color w:val="222222"/>
          <w:sz w:val="24"/>
          <w:szCs w:val="24"/>
          <w:shd w:val="clear" w:color="auto" w:fill="FFFFFF"/>
        </w:rPr>
        <w:t>(1), 61-63.</w:t>
      </w:r>
    </w:p>
    <w:p w:rsidR="00F65F0A" w:rsidRPr="009777C8" w:rsidRDefault="00F65F0A" w:rsidP="00F65F0A">
      <w:pPr>
        <w:spacing w:line="480" w:lineRule="auto"/>
        <w:rPr>
          <w:rFonts w:ascii="Times New Roman" w:hAnsi="Times New Roman" w:cs="Times New Roman"/>
          <w:sz w:val="24"/>
          <w:szCs w:val="24"/>
        </w:rPr>
      </w:pPr>
    </w:p>
    <w:p w:rsidR="00F65F0A" w:rsidRPr="009777C8" w:rsidRDefault="00F65F0A" w:rsidP="00F65F0A">
      <w:pPr>
        <w:spacing w:line="480" w:lineRule="auto"/>
        <w:rPr>
          <w:rFonts w:ascii="Times New Roman" w:hAnsi="Times New Roman" w:cs="Times New Roman"/>
          <w:sz w:val="24"/>
          <w:szCs w:val="24"/>
        </w:rPr>
      </w:pPr>
    </w:p>
    <w:bookmarkEnd w:id="0"/>
    <w:p w:rsidR="00F65F0A" w:rsidRPr="009777C8" w:rsidRDefault="00F65F0A" w:rsidP="00F65F0A">
      <w:pPr>
        <w:rPr>
          <w:rFonts w:ascii="Times New Roman" w:hAnsi="Times New Roman" w:cs="Times New Roman"/>
          <w:sz w:val="24"/>
          <w:szCs w:val="24"/>
        </w:rPr>
      </w:pPr>
    </w:p>
    <w:p w:rsidR="00F65F0A" w:rsidRPr="009777C8" w:rsidRDefault="00F65F0A" w:rsidP="00F65F0A">
      <w:pPr>
        <w:rPr>
          <w:rFonts w:ascii="Times New Roman" w:hAnsi="Times New Roman" w:cs="Times New Roman"/>
          <w:sz w:val="24"/>
          <w:szCs w:val="24"/>
        </w:rPr>
      </w:pPr>
    </w:p>
    <w:p w:rsidR="00F65F0A" w:rsidRPr="009777C8" w:rsidRDefault="00F65F0A">
      <w:pPr>
        <w:rPr>
          <w:rFonts w:ascii="Times New Roman" w:hAnsi="Times New Roman" w:cs="Times New Roman"/>
          <w:sz w:val="24"/>
          <w:szCs w:val="24"/>
        </w:rPr>
      </w:pPr>
    </w:p>
    <w:sectPr w:rsidR="00F65F0A" w:rsidRPr="009777C8" w:rsidSect="00DE1FB9">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2E09" w:rsidRDefault="00322E09" w:rsidP="00DE1FB9">
      <w:pPr>
        <w:spacing w:after="0" w:line="240" w:lineRule="auto"/>
      </w:pPr>
      <w:r>
        <w:separator/>
      </w:r>
    </w:p>
  </w:endnote>
  <w:endnote w:type="continuationSeparator" w:id="1">
    <w:p w:rsidR="00322E09" w:rsidRDefault="00322E09" w:rsidP="00DE1F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2E09" w:rsidRDefault="00322E09" w:rsidP="00DE1FB9">
      <w:pPr>
        <w:spacing w:after="0" w:line="240" w:lineRule="auto"/>
      </w:pPr>
      <w:r>
        <w:separator/>
      </w:r>
    </w:p>
  </w:footnote>
  <w:footnote w:type="continuationSeparator" w:id="1">
    <w:p w:rsidR="00322E09" w:rsidRDefault="00322E09" w:rsidP="00DE1F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66191881"/>
      <w:docPartObj>
        <w:docPartGallery w:val="Page Numbers (Top of Page)"/>
        <w:docPartUnique/>
      </w:docPartObj>
    </w:sdtPr>
    <w:sdtEndPr>
      <w:rPr>
        <w:noProof/>
      </w:rPr>
    </w:sdtEndPr>
    <w:sdtContent>
      <w:p w:rsidR="008F1548" w:rsidRPr="008F1548" w:rsidRDefault="00B13C92" w:rsidP="008F1548">
        <w:pPr>
          <w:pStyle w:val="Header"/>
          <w:spacing w:line="480" w:lineRule="auto"/>
          <w:jc w:val="right"/>
          <w:rPr>
            <w:rFonts w:ascii="Times New Roman" w:hAnsi="Times New Roman" w:cs="Times New Roman"/>
            <w:sz w:val="24"/>
            <w:szCs w:val="24"/>
          </w:rPr>
        </w:pPr>
        <w:r w:rsidRPr="008F1548">
          <w:rPr>
            <w:rFonts w:ascii="Times New Roman" w:hAnsi="Times New Roman" w:cs="Times New Roman"/>
            <w:sz w:val="24"/>
            <w:szCs w:val="24"/>
          </w:rPr>
          <w:fldChar w:fldCharType="begin"/>
        </w:r>
        <w:r w:rsidR="00571B56" w:rsidRPr="008F1548">
          <w:rPr>
            <w:rFonts w:ascii="Times New Roman" w:hAnsi="Times New Roman" w:cs="Times New Roman"/>
            <w:sz w:val="24"/>
            <w:szCs w:val="24"/>
          </w:rPr>
          <w:instrText xml:space="preserve"> PAGE   \* MERGEFORMAT </w:instrText>
        </w:r>
        <w:r w:rsidRPr="008F1548">
          <w:rPr>
            <w:rFonts w:ascii="Times New Roman" w:hAnsi="Times New Roman" w:cs="Times New Roman"/>
            <w:sz w:val="24"/>
            <w:szCs w:val="24"/>
          </w:rPr>
          <w:fldChar w:fldCharType="separate"/>
        </w:r>
        <w:r w:rsidR="007717CC">
          <w:rPr>
            <w:rFonts w:ascii="Times New Roman" w:hAnsi="Times New Roman" w:cs="Times New Roman"/>
            <w:noProof/>
            <w:sz w:val="24"/>
            <w:szCs w:val="24"/>
          </w:rPr>
          <w:t>1</w:t>
        </w:r>
        <w:r w:rsidRPr="008F1548">
          <w:rPr>
            <w:rFonts w:ascii="Times New Roman" w:hAnsi="Times New Roman" w:cs="Times New Roman"/>
            <w:noProof/>
            <w:sz w:val="24"/>
            <w:szCs w:val="24"/>
          </w:rPr>
          <w:fldChar w:fldCharType="end"/>
        </w:r>
      </w:p>
    </w:sdtContent>
  </w:sdt>
  <w:p w:rsidR="008F1548" w:rsidRDefault="00322E0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65F0A"/>
    <w:rsid w:val="00322E09"/>
    <w:rsid w:val="00480C8E"/>
    <w:rsid w:val="00557E5D"/>
    <w:rsid w:val="00571B56"/>
    <w:rsid w:val="005B4CD9"/>
    <w:rsid w:val="006122AA"/>
    <w:rsid w:val="007717CC"/>
    <w:rsid w:val="009777C8"/>
    <w:rsid w:val="00B13C92"/>
    <w:rsid w:val="00DE1FB9"/>
    <w:rsid w:val="00E42BEE"/>
    <w:rsid w:val="00F65F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F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65F0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65F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5F0A"/>
  </w:style>
  <w:style w:type="character" w:styleId="Hyperlink">
    <w:name w:val="Hyperlink"/>
    <w:basedOn w:val="DefaultParagraphFont"/>
    <w:uiPriority w:val="99"/>
    <w:unhideWhenUsed/>
    <w:rsid w:val="00F65F0A"/>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438</Words>
  <Characters>2499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 Surrumo</dc:creator>
  <cp:lastModifiedBy>Kevin</cp:lastModifiedBy>
  <cp:revision>2</cp:revision>
  <dcterms:created xsi:type="dcterms:W3CDTF">2021-10-26T02:06:00Z</dcterms:created>
  <dcterms:modified xsi:type="dcterms:W3CDTF">2021-10-26T02:06:00Z</dcterms:modified>
</cp:coreProperties>
</file>